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48" w:rsidRDefault="00412B71">
      <w:pPr>
        <w:keepNext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5B1E48" w:rsidRDefault="00412B71">
      <w:pPr>
        <w:spacing w:before="240" w:after="60" w:line="360" w:lineRule="auto"/>
        <w:jc w:val="both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Marking Policy</w:t>
      </w:r>
    </w:p>
    <w:p w:rsidR="005B1E48" w:rsidRDefault="005B1E48">
      <w:pPr>
        <w:pBdr>
          <w:top w:val="single" w:sz="4" w:space="1" w:color="000000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B1E48" w:rsidRDefault="00412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Rationale</w:t>
      </w:r>
      <w:bookmarkStart w:id="0" w:name="_GoBack"/>
      <w:bookmarkEnd w:id="0"/>
    </w:p>
    <w:p w:rsidR="005B1E48" w:rsidRDefault="00412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ensure that all students have their work marked in such a way that it is likely to improve their learning, develop their self-confidence, raise self-esteem and provide opportunities for self-assessment. Marking has the potential to be a powerful, manage</w:t>
      </w:r>
      <w:r>
        <w:rPr>
          <w:rFonts w:ascii="Arial" w:eastAsia="Arial" w:hAnsi="Arial" w:cs="Arial"/>
          <w:sz w:val="20"/>
          <w:szCs w:val="20"/>
        </w:rPr>
        <w:t>able and useful ongoing diagnostic record of students’ achievements that feeds into future planning and moves learning on. It is also a very effective medium for providing feedback to learners about their progress.</w:t>
      </w:r>
    </w:p>
    <w:p w:rsidR="005B1E48" w:rsidRDefault="00412B7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Teachers will use their own discretion an</w:t>
      </w:r>
      <w:r>
        <w:rPr>
          <w:rFonts w:ascii="Arial" w:eastAsia="Arial" w:hAnsi="Arial" w:cs="Arial"/>
          <w:sz w:val="20"/>
          <w:szCs w:val="20"/>
        </w:rPr>
        <w:t xml:space="preserve">d pupil knowledge regarding which marking procedure to use. </w:t>
      </w:r>
      <w:r>
        <w:rPr>
          <w:rFonts w:ascii="Arial" w:eastAsia="Arial" w:hAnsi="Arial" w:cs="Arial"/>
          <w:sz w:val="20"/>
          <w:szCs w:val="20"/>
          <w:highlight w:val="white"/>
        </w:rPr>
        <w:t>This will be determined by the student’s academic</w:t>
      </w:r>
      <w:r>
        <w:rPr>
          <w:rFonts w:ascii="Arial" w:eastAsia="Arial" w:hAnsi="Arial" w:cs="Arial"/>
          <w:sz w:val="20"/>
          <w:szCs w:val="20"/>
        </w:rPr>
        <w:t xml:space="preserve"> ability, maturity and age range. The appropriate marking procedure w</w:t>
      </w:r>
      <w:r>
        <w:rPr>
          <w:rFonts w:ascii="Arial" w:eastAsia="Arial" w:hAnsi="Arial" w:cs="Arial"/>
          <w:sz w:val="20"/>
          <w:szCs w:val="20"/>
          <w:highlight w:val="white"/>
        </w:rPr>
        <w:t>ill</w:t>
      </w:r>
      <w:r>
        <w:rPr>
          <w:rFonts w:ascii="Arial" w:eastAsia="Arial" w:hAnsi="Arial" w:cs="Arial"/>
          <w:sz w:val="20"/>
          <w:szCs w:val="20"/>
        </w:rPr>
        <w:t xml:space="preserve"> ensure relevant 2-way dialogue between teacher and student. This will be a</w:t>
      </w:r>
      <w:r>
        <w:rPr>
          <w:rFonts w:ascii="Arial" w:eastAsia="Arial" w:hAnsi="Arial" w:cs="Arial"/>
          <w:sz w:val="20"/>
          <w:szCs w:val="20"/>
        </w:rPr>
        <w:t xml:space="preserve">t a level suitable for the student to understand and respond to. </w:t>
      </w:r>
    </w:p>
    <w:p w:rsidR="005B1E48" w:rsidRDefault="00412B71">
      <w:pPr>
        <w:spacing w:line="36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 xml:space="preserve">This marking procedure will be reflected across all subjects ensuring consistency for the students regardless of their age or ability. </w:t>
      </w:r>
    </w:p>
    <w:p w:rsidR="005B1E48" w:rsidRDefault="005B1E4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B1E48" w:rsidRDefault="00412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The core aims of the marking of students work are:</w:t>
      </w:r>
    </w:p>
    <w:p w:rsidR="005B1E48" w:rsidRDefault="00412B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provide opportunities to give praise and encouragement so their work is valued;</w:t>
      </w:r>
    </w:p>
    <w:p w:rsidR="005B1E48" w:rsidRDefault="00412B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motivate learners to want to produce high quality work and make progress;</w:t>
      </w:r>
    </w:p>
    <w:p w:rsidR="005B1E48" w:rsidRDefault="00412B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reinforce the expected standard;</w:t>
      </w:r>
    </w:p>
    <w:p w:rsidR="005B1E48" w:rsidRDefault="00412B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Marking of student’s work, either written or verbal, should be regular and frequent;</w:t>
      </w:r>
    </w:p>
    <w:p w:rsidR="005B1E48" w:rsidRDefault="00412B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enable students to recognise what they do well and how they can improve;</w:t>
      </w:r>
    </w:p>
    <w:p w:rsidR="005B1E48" w:rsidRDefault="00412B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enable students to improve their work through the setting of challenging, but achievable tar</w:t>
      </w:r>
      <w:r>
        <w:rPr>
          <w:rFonts w:ascii="Arial" w:eastAsia="Arial" w:hAnsi="Arial" w:cs="Arial"/>
          <w:color w:val="000000"/>
          <w:sz w:val="20"/>
          <w:szCs w:val="20"/>
        </w:rPr>
        <w:t>gets;</w:t>
      </w:r>
    </w:p>
    <w:p w:rsidR="005B1E48" w:rsidRDefault="00412B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allow students to build up a realistic picture of their strengths and weaknesses and foster a culture whereby it is alright to make mistakes, but then good to learn from and remedy them;</w:t>
      </w:r>
    </w:p>
    <w:p w:rsidR="005B1E48" w:rsidRDefault="00412B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determine if teaching has been effective and inform the n</w:t>
      </w:r>
      <w:r>
        <w:rPr>
          <w:rFonts w:ascii="Arial" w:eastAsia="Arial" w:hAnsi="Arial" w:cs="Arial"/>
          <w:color w:val="000000"/>
          <w:sz w:val="20"/>
          <w:szCs w:val="20"/>
        </w:rPr>
        <w:t>ext steps of planning;</w:t>
      </w:r>
    </w:p>
    <w:p w:rsidR="005B1E48" w:rsidRDefault="00412B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provide a record of past interactions for outside audiences.</w:t>
      </w:r>
    </w:p>
    <w:p w:rsidR="005B1E48" w:rsidRDefault="005B1E48">
      <w:pPr>
        <w:spacing w:after="200" w:line="360" w:lineRule="auto"/>
        <w:rPr>
          <w:rFonts w:ascii="Arial" w:eastAsia="Arial" w:hAnsi="Arial" w:cs="Arial"/>
          <w:b/>
          <w:sz w:val="20"/>
          <w:szCs w:val="20"/>
        </w:rPr>
      </w:pPr>
    </w:p>
    <w:p w:rsidR="005B1E48" w:rsidRDefault="00412B71">
      <w:pPr>
        <w:spacing w:after="20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Marking should be:</w:t>
      </w:r>
    </w:p>
    <w:p w:rsidR="005B1E48" w:rsidRDefault="00412B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Undertaken as soon as possible after completion and if possible, discussed with the child, or where possible in the moment marking, will be used within some subject areas.</w:t>
      </w:r>
    </w:p>
    <w:p w:rsidR="005B1E48" w:rsidRDefault="00412B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Clearly related to the aims of the lesson or section of coursework.</w:t>
      </w:r>
    </w:p>
    <w:p w:rsidR="005B1E48" w:rsidRDefault="00412B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Meaningful for t</w:t>
      </w:r>
      <w:r>
        <w:rPr>
          <w:rFonts w:ascii="Arial" w:eastAsia="Arial" w:hAnsi="Arial" w:cs="Arial"/>
          <w:sz w:val="20"/>
          <w:szCs w:val="20"/>
        </w:rPr>
        <w:t>he individual student and enable the learner to improve by being provided.</w:t>
      </w:r>
    </w:p>
    <w:p w:rsidR="005B1E48" w:rsidRDefault="00412B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Used to inform future planning.</w:t>
      </w:r>
    </w:p>
    <w:p w:rsidR="005B1E48" w:rsidRDefault="00412B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Positive and constructive, with appropriate praise given.</w:t>
      </w:r>
    </w:p>
    <w:p w:rsidR="005B1E48" w:rsidRDefault="00412B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Linked to learning objectives with targets in some cases.</w:t>
      </w:r>
    </w:p>
    <w:p w:rsidR="005B1E48" w:rsidRDefault="00412B71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Two way  – feedback should match </w:t>
      </w:r>
      <w:r>
        <w:rPr>
          <w:rFonts w:ascii="Arial" w:eastAsia="Arial" w:hAnsi="Arial" w:cs="Arial"/>
          <w:sz w:val="20"/>
          <w:szCs w:val="20"/>
        </w:rPr>
        <w:t>with your learning style and subject; students given opportunity and encouraged to respond.</w:t>
      </w:r>
    </w:p>
    <w:p w:rsidR="005B1E48" w:rsidRDefault="00412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B1E48" w:rsidRDefault="00412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Marking for classes using Evidence for Learning, should include:</w:t>
      </w:r>
    </w:p>
    <w:p w:rsidR="005B1E48" w:rsidRDefault="00412B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Photographs of the pupil meeting an objective.</w:t>
      </w:r>
    </w:p>
    <w:p w:rsidR="005B1E48" w:rsidRDefault="00412B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comment describing what the activity is, how much support was given and who observed it. </w:t>
      </w:r>
    </w:p>
    <w:p w:rsidR="005B1E48" w:rsidRDefault="00412B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the objective meets the EHCP target.</w:t>
      </w:r>
    </w:p>
    <w:p w:rsidR="005B1E48" w:rsidRDefault="005B1E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5B1E48" w:rsidRPr="009F0A2E" w:rsidRDefault="00412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F0A2E">
        <w:rPr>
          <w:rFonts w:ascii="Arial" w:eastAsia="Arial" w:hAnsi="Arial" w:cs="Arial"/>
          <w:b/>
          <w:sz w:val="20"/>
          <w:szCs w:val="20"/>
        </w:rPr>
        <w:t>Marking for work produced in books in phase 1 and lower phase 2 you will see:</w:t>
      </w:r>
    </w:p>
    <w:p w:rsidR="005B1E48" w:rsidRPr="009F0A2E" w:rsidRDefault="00412B71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F0A2E">
        <w:rPr>
          <w:rFonts w:ascii="Arial" w:eastAsia="Arial" w:hAnsi="Arial" w:cs="Arial"/>
          <w:sz w:val="20"/>
          <w:szCs w:val="20"/>
        </w:rPr>
        <w:t>Child friendly traffic light system to show if children have met, are working towards or have not yet met their learning objective.</w:t>
      </w:r>
    </w:p>
    <w:p w:rsidR="005B1E48" w:rsidRPr="009F0A2E" w:rsidRDefault="00412B71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F0A2E">
        <w:rPr>
          <w:rFonts w:ascii="Arial" w:eastAsia="Arial" w:hAnsi="Arial" w:cs="Arial"/>
          <w:sz w:val="20"/>
          <w:szCs w:val="20"/>
        </w:rPr>
        <w:t xml:space="preserve">Stamps with pictures to show the level of support given. </w:t>
      </w:r>
    </w:p>
    <w:p w:rsidR="005B1E48" w:rsidRPr="009F0A2E" w:rsidRDefault="00412B71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F0A2E">
        <w:rPr>
          <w:rFonts w:ascii="Arial" w:eastAsia="Arial" w:hAnsi="Arial" w:cs="Arial"/>
          <w:sz w:val="20"/>
          <w:szCs w:val="20"/>
        </w:rPr>
        <w:t xml:space="preserve">Stamps to show what could be improved e.g. ‘remember full stops’. </w:t>
      </w:r>
    </w:p>
    <w:p w:rsidR="005B1E48" w:rsidRPr="009F0A2E" w:rsidRDefault="00412B71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F0A2E">
        <w:rPr>
          <w:rFonts w:ascii="Arial" w:eastAsia="Arial" w:hAnsi="Arial" w:cs="Arial"/>
          <w:sz w:val="20"/>
          <w:szCs w:val="20"/>
        </w:rPr>
        <w:t xml:space="preserve">Verbal and written feedback in the form of verbal questioning, letter/number formation practice or an extension activity. </w:t>
      </w:r>
    </w:p>
    <w:p w:rsidR="005B1E48" w:rsidRDefault="005B1E48">
      <w:pPr>
        <w:spacing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5B1E48" w:rsidRDefault="00412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Marking for classes in upper phase 2 and phase 3 should include:</w:t>
      </w:r>
    </w:p>
    <w:p w:rsidR="005B1E48" w:rsidRDefault="00412B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written marking feedback should be in green pen (VI students only marked with black pen).</w:t>
      </w:r>
    </w:p>
    <w:p w:rsidR="005B1E48" w:rsidRDefault="00412B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Successfully achieved learning objectives are highlighted in green (providing visual feedback for pupils and assessment for the teacher).</w:t>
      </w:r>
    </w:p>
    <w:p w:rsidR="005B1E48" w:rsidRDefault="00412B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Learning objectives in p</w:t>
      </w:r>
      <w:r>
        <w:rPr>
          <w:rFonts w:ascii="Arial" w:eastAsia="Arial" w:hAnsi="Arial" w:cs="Arial"/>
          <w:sz w:val="20"/>
          <w:szCs w:val="20"/>
        </w:rPr>
        <w:t>lace in books, marked with the key in the top right hand corner of how work was completed; for Example I, FS or MS.</w:t>
      </w:r>
    </w:p>
    <w:p w:rsidR="005B1E48" w:rsidRDefault="00412B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Verbal and written feedback, including questioning and further challenge. </w:t>
      </w:r>
    </w:p>
    <w:p w:rsidR="005B1E48" w:rsidRDefault="00412B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Knowledge  bubbles used to evidence verbal understanding of knowl</w:t>
      </w:r>
      <w:r>
        <w:rPr>
          <w:rFonts w:ascii="Arial" w:eastAsia="Arial" w:hAnsi="Arial" w:cs="Arial"/>
          <w:sz w:val="20"/>
          <w:szCs w:val="20"/>
        </w:rPr>
        <w:t>edge within class.</w:t>
      </w:r>
    </w:p>
    <w:p w:rsidR="005B1E48" w:rsidRDefault="00412B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Incorrect answers should be marked with a green X.</w:t>
      </w:r>
    </w:p>
    <w:p w:rsidR="005B1E48" w:rsidRDefault="005B1E48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B1E48" w:rsidRDefault="00412B7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Marking for classes in phases 4 and 5 should include:</w:t>
      </w:r>
    </w:p>
    <w:p w:rsidR="005B1E48" w:rsidRDefault="00412B7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written marking feedback should be in green pen (VI students only marked with black pen).</w:t>
      </w:r>
    </w:p>
    <w:p w:rsidR="005B1E48" w:rsidRDefault="00412B7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arking for catering work should be c</w:t>
      </w:r>
      <w:r>
        <w:rPr>
          <w:rFonts w:ascii="Arial" w:eastAsia="Arial" w:hAnsi="Arial" w:cs="Arial"/>
          <w:sz w:val="20"/>
          <w:szCs w:val="20"/>
        </w:rPr>
        <w:t>ompleted in black.  Internal verifier should mark in red and external verifier should mark in green.  This is to ensure compliance with examination board requirements.</w:t>
      </w:r>
    </w:p>
    <w:p w:rsidR="005B1E48" w:rsidRDefault="00412B7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Successfully achieved learning objectives are highlighted in green (providing visual fee</w:t>
      </w:r>
      <w:r>
        <w:rPr>
          <w:rFonts w:ascii="Arial" w:eastAsia="Arial" w:hAnsi="Arial" w:cs="Arial"/>
          <w:sz w:val="20"/>
          <w:szCs w:val="20"/>
        </w:rPr>
        <w:t>dback for pupils and assessment for the teacher)</w:t>
      </w:r>
    </w:p>
    <w:p w:rsidR="005B1E48" w:rsidRDefault="00412B7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Learning objectives in place in books, marked with the  key in the top right hand corner of how work was completed; for Example I, FS or MS.</w:t>
      </w:r>
    </w:p>
    <w:p w:rsidR="005B1E48" w:rsidRDefault="00412B7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Verbal and written feedback, including questioning and further cha</w:t>
      </w:r>
      <w:r>
        <w:rPr>
          <w:rFonts w:ascii="Arial" w:eastAsia="Arial" w:hAnsi="Arial" w:cs="Arial"/>
          <w:sz w:val="20"/>
          <w:szCs w:val="20"/>
        </w:rPr>
        <w:t xml:space="preserve">llenge. </w:t>
      </w:r>
    </w:p>
    <w:p w:rsidR="005B1E48" w:rsidRDefault="00412B7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Knowledge  bubbles used to evidence verbal understanding of knowledge within class.</w:t>
      </w:r>
    </w:p>
    <w:p w:rsidR="005B1E48" w:rsidRDefault="00412B7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Incorrect answers should be marked with a green X.</w:t>
      </w:r>
    </w:p>
    <w:p w:rsidR="005B1E48" w:rsidRDefault="00412B7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Coursework should include the assessment record sheet relevant for each exam board. Each student will have their</w:t>
      </w:r>
      <w:r>
        <w:rPr>
          <w:rFonts w:ascii="Arial" w:eastAsia="Arial" w:hAnsi="Arial" w:cs="Arial"/>
          <w:sz w:val="20"/>
          <w:szCs w:val="20"/>
        </w:rPr>
        <w:t xml:space="preserve"> own copy and these assessments are quality assured by the internal verifier in school as well as an external verification from exam boards.</w:t>
      </w:r>
    </w:p>
    <w:p w:rsidR="005B1E48" w:rsidRDefault="005B1E48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B1E48" w:rsidRDefault="00412B7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Lifeskills</w:t>
      </w:r>
    </w:p>
    <w:p w:rsidR="005B1E48" w:rsidRDefault="00412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Lifeskills will use the marking policy for phase 2 and 3, except where pupils are in phase 4 where the phase 4 policy will be followed to ensure compliance with examination board requirements. </w:t>
      </w:r>
    </w:p>
    <w:p w:rsidR="005B1E48" w:rsidRDefault="005B1E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B1E48" w:rsidRDefault="00412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Monitoring and Evaluation</w:t>
      </w:r>
    </w:p>
    <w:p w:rsidR="005B1E48" w:rsidRDefault="00412B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Leadership team will carry out work</w:t>
      </w:r>
      <w:r>
        <w:rPr>
          <w:rFonts w:ascii="Arial" w:eastAsia="Arial" w:hAnsi="Arial" w:cs="Arial"/>
          <w:sz w:val="20"/>
          <w:szCs w:val="20"/>
        </w:rPr>
        <w:t xml:space="preserve"> scrutiny to monitor the implementation of this policy. </w:t>
      </w:r>
    </w:p>
    <w:p w:rsidR="005B1E48" w:rsidRDefault="00412B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work should be dated and titled; numerical date for maths and science, written date for all other subjects.</w:t>
      </w:r>
    </w:p>
    <w:p w:rsidR="005B1E48" w:rsidRDefault="00412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outcomes for this policy are an improvement in students’ learning and greater under</w:t>
      </w:r>
      <w:r>
        <w:rPr>
          <w:rFonts w:ascii="Arial" w:eastAsia="Arial" w:hAnsi="Arial" w:cs="Arial"/>
          <w:sz w:val="20"/>
          <w:szCs w:val="20"/>
        </w:rPr>
        <w:t>standing,</w:t>
      </w:r>
    </w:p>
    <w:p w:rsidR="005B1E48" w:rsidRDefault="00412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subject areas have a coherent and consistent approach to identifying learning milestones and identify key tasks to be marked in detail,</w:t>
      </w:r>
    </w:p>
    <w:p w:rsidR="005B1E48" w:rsidRDefault="00412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well planned system of rewards ensures that students of all abilities are motivated.</w:t>
      </w:r>
    </w:p>
    <w:p w:rsidR="005B1E48" w:rsidRDefault="00412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phase 4 and 5 q</w:t>
      </w:r>
      <w:r>
        <w:rPr>
          <w:rFonts w:ascii="Arial" w:eastAsia="Arial" w:hAnsi="Arial" w:cs="Arial"/>
          <w:sz w:val="20"/>
          <w:szCs w:val="20"/>
        </w:rPr>
        <w:t>ualifications are quality assured internally and externally.</w:t>
      </w:r>
    </w:p>
    <w:p w:rsidR="005B1E48" w:rsidRDefault="005B1E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B1E48" w:rsidRDefault="00412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The performance indicators will be:</w:t>
      </w:r>
    </w:p>
    <w:p w:rsidR="005B1E48" w:rsidRDefault="00412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 improvement in student’s attainment.</w:t>
      </w:r>
    </w:p>
    <w:p w:rsidR="005B1E48" w:rsidRDefault="00412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Consistency in marking across the school.</w:t>
      </w:r>
    </w:p>
    <w:p w:rsidR="005B1E48" w:rsidRDefault="00412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An awareness for the students of expectations and how they can improve.</w:t>
      </w:r>
    </w:p>
    <w:p w:rsidR="005B1E48" w:rsidRDefault="005B1E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B1E48" w:rsidRDefault="00412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Mon</w:t>
      </w:r>
      <w:r>
        <w:rPr>
          <w:rFonts w:ascii="Arial" w:eastAsia="Arial" w:hAnsi="Arial" w:cs="Arial"/>
          <w:b/>
          <w:sz w:val="20"/>
          <w:szCs w:val="20"/>
        </w:rPr>
        <w:t>itoring and review</w:t>
      </w:r>
    </w:p>
    <w:p w:rsidR="005B1E48" w:rsidRDefault="00412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policy will be reviewed annually.</w:t>
      </w:r>
    </w:p>
    <w:p w:rsidR="005B1E48" w:rsidRDefault="005B1E4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702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</w:tblGrid>
      <w:tr w:rsidR="005B1E48">
        <w:trPr>
          <w:trHeight w:val="1165"/>
        </w:trPr>
        <w:tc>
          <w:tcPr>
            <w:tcW w:w="7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2D69B"/>
          </w:tcPr>
          <w:p w:rsidR="005B1E48" w:rsidRDefault="005B1E48">
            <w:pPr>
              <w:keepNext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B1E48" w:rsidRDefault="00412B71">
            <w:pPr>
              <w:keepNext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Policy approved by Governors: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Sept 2022</w:t>
            </w:r>
          </w:p>
          <w:p w:rsidR="005B1E48" w:rsidRDefault="00412B7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 of next review by Governors: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Sept 2023 </w:t>
            </w:r>
          </w:p>
          <w:p w:rsidR="005B1E48" w:rsidRDefault="005B1E48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B1E48" w:rsidRDefault="005B1E48">
      <w:pPr>
        <w:spacing w:after="200" w:line="36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bookmarkStart w:id="3" w:name="_1fob9te" w:colFirst="0" w:colLast="0"/>
      <w:bookmarkEnd w:id="3"/>
    </w:p>
    <w:p w:rsidR="005B1E48" w:rsidRDefault="00412B71">
      <w:pPr>
        <w:rPr>
          <w:rFonts w:ascii="Arial" w:eastAsia="Arial" w:hAnsi="Arial" w:cs="Arial"/>
          <w:b/>
          <w:color w:val="FF0000"/>
          <w:sz w:val="20"/>
          <w:szCs w:val="20"/>
        </w:rPr>
      </w:pPr>
      <w:r>
        <w:br w:type="page"/>
      </w:r>
    </w:p>
    <w:p w:rsidR="005B1E48" w:rsidRDefault="00412B71">
      <w:pPr>
        <w:spacing w:after="20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Inside front cover of all books – upper phase 2, phases 3 – 5 &amp; Lifeskills.   All Marking will be in </w:t>
      </w:r>
      <w:r>
        <w:rPr>
          <w:rFonts w:ascii="Arial" w:eastAsia="Arial" w:hAnsi="Arial" w:cs="Arial"/>
          <w:b/>
          <w:color w:val="00B050"/>
        </w:rPr>
        <w:t>GREEN</w:t>
      </w:r>
      <w:r>
        <w:rPr>
          <w:rFonts w:ascii="Arial" w:eastAsia="Arial" w:hAnsi="Arial" w:cs="Arial"/>
          <w:b/>
        </w:rPr>
        <w:t xml:space="preserve"> unless VI which will be BLACK.</w:t>
      </w:r>
    </w:p>
    <w:p w:rsidR="005B1E48" w:rsidRDefault="00412B71">
      <w:pPr>
        <w:spacing w:after="2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my book you will see</w:t>
      </w:r>
    </w:p>
    <w:p w:rsidR="005B1E48" w:rsidRDefault="00412B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64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Dates</w:t>
      </w:r>
    </w:p>
    <w:p w:rsidR="005B1E48" w:rsidRDefault="00412B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64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Learning objectives and success criteria which form my targets </w:t>
      </w:r>
    </w:p>
    <w:p w:rsidR="005B1E48" w:rsidRDefault="00412B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64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Two-way feedback</w:t>
      </w:r>
    </w:p>
    <w:p w:rsidR="005B1E48" w:rsidRDefault="00412B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64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Verbal and written feedback, including questioning and further challenges</w:t>
      </w:r>
    </w:p>
    <w:p w:rsidR="005B1E48" w:rsidRDefault="00412B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643"/>
        <w:jc w:val="both"/>
        <w:rPr>
          <w:color w:val="000000"/>
        </w:rPr>
      </w:pPr>
      <w:bookmarkStart w:id="4" w:name="_3znysh7" w:colFirst="0" w:colLast="0"/>
      <w:bookmarkEnd w:id="4"/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>nowledge</w:t>
      </w:r>
      <w:r>
        <w:rPr>
          <w:rFonts w:ascii="Arial" w:eastAsia="Arial" w:hAnsi="Arial" w:cs="Arial"/>
          <w:color w:val="000000"/>
        </w:rPr>
        <w:t xml:space="preserve"> bubbles used to show my knowledge within the class</w:t>
      </w:r>
    </w:p>
    <w:p w:rsidR="005B1E48" w:rsidRDefault="00412B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567" w:hanging="64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My progression</w:t>
      </w:r>
    </w:p>
    <w:p w:rsidR="005B1E48" w:rsidRDefault="00412B71">
      <w:pPr>
        <w:spacing w:after="2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Key</w:t>
      </w:r>
    </w:p>
    <w:p w:rsidR="005B1E48" w:rsidRDefault="00412B71">
      <w:pPr>
        <w:spacing w:after="200" w:line="360" w:lineRule="auto"/>
        <w:ind w:left="1134" w:hanging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B050"/>
        </w:rPr>
        <w:t>I</w:t>
      </w:r>
      <w:r>
        <w:rPr>
          <w:rFonts w:ascii="Arial" w:eastAsia="Arial" w:hAnsi="Arial" w:cs="Arial"/>
          <w:color w:val="00B050"/>
        </w:rPr>
        <w:t xml:space="preserve"> </w:t>
      </w:r>
      <w:r>
        <w:rPr>
          <w:rFonts w:ascii="Arial" w:eastAsia="Arial" w:hAnsi="Arial" w:cs="Arial"/>
        </w:rPr>
        <w:tab/>
        <w:t>Independent work</w:t>
      </w:r>
    </w:p>
    <w:p w:rsidR="005B1E48" w:rsidRDefault="00412B71">
      <w:pPr>
        <w:spacing w:after="200" w:line="360" w:lineRule="auto"/>
        <w:ind w:left="1134" w:hanging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B050"/>
        </w:rPr>
        <w:t>FS</w:t>
      </w:r>
      <w:r>
        <w:rPr>
          <w:rFonts w:ascii="Arial" w:eastAsia="Arial" w:hAnsi="Arial" w:cs="Arial"/>
        </w:rPr>
        <w:tab/>
        <w:t>Full support</w:t>
      </w:r>
    </w:p>
    <w:p w:rsidR="005B1E48" w:rsidRDefault="00412B71">
      <w:pPr>
        <w:spacing w:after="200" w:line="360" w:lineRule="auto"/>
        <w:ind w:left="1134" w:hanging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B050"/>
        </w:rPr>
        <w:t>IS</w:t>
      </w:r>
      <w:r>
        <w:rPr>
          <w:rFonts w:ascii="Arial" w:eastAsia="Arial" w:hAnsi="Arial" w:cs="Arial"/>
        </w:rPr>
        <w:tab/>
        <w:t>Initial support given</w:t>
      </w:r>
    </w:p>
    <w:p w:rsidR="005B1E48" w:rsidRDefault="00412B71">
      <w:pPr>
        <w:spacing w:after="200" w:line="360" w:lineRule="auto"/>
        <w:ind w:left="1134" w:hanging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B050"/>
        </w:rPr>
        <w:t>MS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Moderate support given</w:t>
      </w:r>
    </w:p>
    <w:p w:rsidR="005B1E48" w:rsidRDefault="00412B71">
      <w:pPr>
        <w:spacing w:after="200" w:line="360" w:lineRule="auto"/>
        <w:ind w:left="1134" w:hanging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B050"/>
        </w:rPr>
        <w:t>VF</w:t>
      </w:r>
      <w:r>
        <w:rPr>
          <w:rFonts w:ascii="Arial" w:eastAsia="Arial" w:hAnsi="Arial" w:cs="Arial"/>
        </w:rPr>
        <w:tab/>
        <w:t>Verbal feedback</w:t>
      </w:r>
    </w:p>
    <w:p w:rsidR="005B1E48" w:rsidRDefault="00412B71">
      <w:pPr>
        <w:spacing w:after="200" w:line="360" w:lineRule="auto"/>
        <w:ind w:left="1134" w:hanging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B050"/>
        </w:rPr>
        <w:t>HP</w:t>
      </w:r>
      <w:r>
        <w:rPr>
          <w:rFonts w:ascii="Arial" w:eastAsia="Arial" w:hAnsi="Arial" w:cs="Arial"/>
        </w:rPr>
        <w:tab/>
        <w:t>House point</w:t>
      </w:r>
    </w:p>
    <w:p w:rsidR="005B1E48" w:rsidRDefault="00412B71">
      <w:pPr>
        <w:spacing w:after="200" w:line="360" w:lineRule="auto"/>
        <w:ind w:left="1134" w:hanging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B050"/>
        </w:rPr>
        <w:t>X</w:t>
      </w:r>
      <w:r>
        <w:rPr>
          <w:rFonts w:ascii="Arial" w:eastAsia="Arial" w:hAnsi="Arial" w:cs="Arial"/>
          <w:color w:val="00B050"/>
        </w:rPr>
        <w:t xml:space="preserve"> </w:t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ab/>
        <w:t>Incorrect answer</w:t>
      </w:r>
    </w:p>
    <w:p w:rsidR="005B1E48" w:rsidRDefault="00412B71">
      <w:pPr>
        <w:spacing w:after="200" w:line="360" w:lineRule="auto"/>
        <w:ind w:left="1134" w:hanging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B050"/>
        </w:rPr>
        <w:t>SC</w:t>
      </w:r>
      <w:r>
        <w:rPr>
          <w:rFonts w:ascii="Arial" w:eastAsia="Arial" w:hAnsi="Arial" w:cs="Arial"/>
        </w:rPr>
        <w:tab/>
        <w:t>Self correct</w:t>
      </w:r>
    </w:p>
    <w:p w:rsidR="005B1E48" w:rsidRDefault="00412B71">
      <w:pPr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>
        <w:br w:type="page"/>
      </w:r>
    </w:p>
    <w:p w:rsidR="005B1E48" w:rsidRDefault="00412B71">
      <w:pPr>
        <w:spacing w:after="20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Inside front cover of all books – Phase 1, lower phase 2.   All Marking will be in </w:t>
      </w:r>
      <w:r>
        <w:rPr>
          <w:rFonts w:ascii="Arial" w:eastAsia="Arial" w:hAnsi="Arial" w:cs="Arial"/>
          <w:b/>
          <w:color w:val="00B050"/>
        </w:rPr>
        <w:t>GREEN</w:t>
      </w:r>
      <w:r>
        <w:rPr>
          <w:rFonts w:ascii="Arial" w:eastAsia="Arial" w:hAnsi="Arial" w:cs="Arial"/>
          <w:b/>
        </w:rPr>
        <w:t xml:space="preserve"> unless VI which will be BLACK.</w:t>
      </w:r>
    </w:p>
    <w:p w:rsidR="005B1E48" w:rsidRDefault="00412B71">
      <w:pPr>
        <w:spacing w:after="2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my book you will see</w:t>
      </w:r>
    </w:p>
    <w:p w:rsidR="005B1E48" w:rsidRDefault="00412B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64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Dates</w:t>
      </w:r>
    </w:p>
    <w:p w:rsidR="005B1E48" w:rsidRDefault="00412B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64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Learning objectives and success </w:t>
      </w:r>
      <w:r>
        <w:rPr>
          <w:rFonts w:ascii="Arial" w:eastAsia="Arial" w:hAnsi="Arial" w:cs="Arial"/>
        </w:rPr>
        <w:t>criteria</w:t>
      </w:r>
      <w:r>
        <w:rPr>
          <w:rFonts w:ascii="Arial" w:eastAsia="Arial" w:hAnsi="Arial" w:cs="Arial"/>
          <w:color w:val="000000"/>
        </w:rPr>
        <w:t xml:space="preserve"> which form my targets</w:t>
      </w:r>
    </w:p>
    <w:p w:rsidR="005B1E48" w:rsidRDefault="00412B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64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Two-way verbal and written feedback, includ</w:t>
      </w:r>
      <w:r>
        <w:rPr>
          <w:rFonts w:ascii="Arial" w:eastAsia="Arial" w:hAnsi="Arial" w:cs="Arial"/>
          <w:color w:val="000000"/>
        </w:rPr>
        <w:t>ing questioning and further challenges</w:t>
      </w:r>
    </w:p>
    <w:p w:rsidR="005B1E48" w:rsidRDefault="00412B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567" w:hanging="64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My progression</w:t>
      </w:r>
    </w:p>
    <w:p w:rsidR="009F0A2E" w:rsidRDefault="00412B71" w:rsidP="009F0A2E">
      <w:pPr>
        <w:spacing w:after="2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Key</w:t>
      </w:r>
      <w:r w:rsidR="009F0A2E" w:rsidRPr="009F0A2E">
        <w:rPr>
          <w:rFonts w:ascii="Arial" w:eastAsia="Arial" w:hAnsi="Arial" w:cs="Arial"/>
          <w:b/>
        </w:rPr>
        <w:t xml:space="preserve"> </w:t>
      </w:r>
    </w:p>
    <w:p w:rsidR="009F0A2E" w:rsidRDefault="009F0A2E" w:rsidP="009F0A2E">
      <w:pPr>
        <w:spacing w:after="200" w:line="360" w:lineRule="auto"/>
        <w:ind w:left="1134" w:hanging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B050"/>
        </w:rPr>
        <w:t>I</w:t>
      </w:r>
      <w:r>
        <w:rPr>
          <w:rFonts w:ascii="Arial" w:eastAsia="Arial" w:hAnsi="Arial" w:cs="Arial"/>
          <w:color w:val="00B050"/>
        </w:rPr>
        <w:t xml:space="preserve"> </w:t>
      </w:r>
      <w:r>
        <w:rPr>
          <w:rFonts w:ascii="Arial" w:eastAsia="Arial" w:hAnsi="Arial" w:cs="Arial"/>
        </w:rPr>
        <w:tab/>
        <w:t>Independent work</w:t>
      </w:r>
    </w:p>
    <w:p w:rsidR="009F0A2E" w:rsidRDefault="009F0A2E" w:rsidP="009F0A2E">
      <w:pPr>
        <w:spacing w:after="200" w:line="360" w:lineRule="auto"/>
        <w:ind w:left="1134" w:hanging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B050"/>
        </w:rPr>
        <w:t>FS</w:t>
      </w:r>
      <w:r>
        <w:rPr>
          <w:rFonts w:ascii="Arial" w:eastAsia="Arial" w:hAnsi="Arial" w:cs="Arial"/>
        </w:rPr>
        <w:tab/>
        <w:t>Full support</w:t>
      </w:r>
    </w:p>
    <w:p w:rsidR="009F0A2E" w:rsidRDefault="009F0A2E" w:rsidP="009F0A2E">
      <w:pPr>
        <w:spacing w:after="200" w:line="360" w:lineRule="auto"/>
        <w:ind w:left="1134" w:hanging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B050"/>
        </w:rPr>
        <w:t>IS</w:t>
      </w:r>
      <w:r>
        <w:rPr>
          <w:rFonts w:ascii="Arial" w:eastAsia="Arial" w:hAnsi="Arial" w:cs="Arial"/>
        </w:rPr>
        <w:tab/>
        <w:t>Initial support given</w:t>
      </w:r>
    </w:p>
    <w:p w:rsidR="009F0A2E" w:rsidRDefault="009F0A2E" w:rsidP="009F0A2E">
      <w:pPr>
        <w:spacing w:after="200" w:line="360" w:lineRule="auto"/>
        <w:ind w:left="1134" w:hanging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B050"/>
        </w:rPr>
        <w:t>MS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Moderate support given</w:t>
      </w:r>
    </w:p>
    <w:p w:rsidR="009F0A2E" w:rsidRDefault="009F0A2E" w:rsidP="009F0A2E">
      <w:pPr>
        <w:spacing w:after="200" w:line="360" w:lineRule="auto"/>
        <w:ind w:left="1134" w:hanging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B050"/>
        </w:rPr>
        <w:t>VF</w:t>
      </w:r>
      <w:r>
        <w:rPr>
          <w:rFonts w:ascii="Arial" w:eastAsia="Arial" w:hAnsi="Arial" w:cs="Arial"/>
        </w:rPr>
        <w:tab/>
        <w:t>Verbal feedback</w:t>
      </w:r>
    </w:p>
    <w:p w:rsidR="009F0A2E" w:rsidRDefault="009F0A2E" w:rsidP="009F0A2E">
      <w:pPr>
        <w:spacing w:after="200" w:line="360" w:lineRule="auto"/>
        <w:ind w:left="1134" w:hanging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B050"/>
        </w:rPr>
        <w:t>HP</w:t>
      </w:r>
      <w:r>
        <w:rPr>
          <w:rFonts w:ascii="Arial" w:eastAsia="Arial" w:hAnsi="Arial" w:cs="Arial"/>
        </w:rPr>
        <w:tab/>
        <w:t>House point</w:t>
      </w:r>
    </w:p>
    <w:p w:rsidR="009F0A2E" w:rsidRDefault="009F0A2E" w:rsidP="009F0A2E">
      <w:pPr>
        <w:spacing w:after="200" w:line="360" w:lineRule="auto"/>
        <w:ind w:left="1134" w:hanging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B050"/>
        </w:rPr>
        <w:t>X</w:t>
      </w:r>
      <w:r>
        <w:rPr>
          <w:rFonts w:ascii="Arial" w:eastAsia="Arial" w:hAnsi="Arial" w:cs="Arial"/>
          <w:color w:val="00B050"/>
        </w:rPr>
        <w:t xml:space="preserve"> </w:t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ab/>
        <w:t>Incorrect answer</w:t>
      </w:r>
    </w:p>
    <w:p w:rsidR="005B1E48" w:rsidRDefault="009F0A2E" w:rsidP="009F0A2E">
      <w:pPr>
        <w:spacing w:after="200" w:line="360" w:lineRule="auto"/>
        <w:ind w:left="1134" w:hanging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B050"/>
        </w:rPr>
        <w:t>SC</w:t>
      </w:r>
      <w:r>
        <w:rPr>
          <w:rFonts w:ascii="Arial" w:eastAsia="Arial" w:hAnsi="Arial" w:cs="Arial"/>
        </w:rPr>
        <w:tab/>
        <w:t>Self correct</w:t>
      </w:r>
    </w:p>
    <w:sectPr w:rsidR="005B1E48" w:rsidSect="009F0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5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2B71">
      <w:r>
        <w:separator/>
      </w:r>
    </w:p>
  </w:endnote>
  <w:endnote w:type="continuationSeparator" w:id="0">
    <w:p w:rsidR="00000000" w:rsidRDefault="0041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48" w:rsidRDefault="005B1E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48" w:rsidRDefault="00412B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F0A2E">
      <w:rPr>
        <w:color w:val="000000"/>
      </w:rPr>
      <w:fldChar w:fldCharType="separate"/>
    </w:r>
    <w:r>
      <w:rPr>
        <w:noProof/>
        <w:color w:val="000000"/>
      </w:rPr>
      <w:t>5</w:t>
    </w:r>
    <w:r>
      <w:rPr>
        <w:color w:val="000000"/>
      </w:rPr>
      <w:fldChar w:fldCharType="end"/>
    </w:r>
  </w:p>
  <w:p w:rsidR="005B1E48" w:rsidRDefault="005B1E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48" w:rsidRDefault="005B1E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2B71">
      <w:r>
        <w:separator/>
      </w:r>
    </w:p>
  </w:footnote>
  <w:footnote w:type="continuationSeparator" w:id="0">
    <w:p w:rsidR="00000000" w:rsidRDefault="0041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48" w:rsidRDefault="00412B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5730240" cy="3074035"/>
          <wp:effectExtent l="0" t="0" r="0" b="0"/>
          <wp:wrapSquare wrapText="bothSides" distT="0" distB="0" distL="114300" distR="114300"/>
          <wp:docPr id="48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240" cy="3074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48" w:rsidRDefault="009F0A2E">
    <w:pPr>
      <w:keepNext/>
      <w:tabs>
        <w:tab w:val="center" w:pos="4513"/>
        <w:tab w:val="right" w:pos="9026"/>
      </w:tabs>
      <w:spacing w:line="360" w:lineRule="auto"/>
      <w:jc w:val="both"/>
      <w:rPr>
        <w:color w:val="000000"/>
      </w:rPr>
    </w:pPr>
    <w:r>
      <w:rPr>
        <w:noProof/>
      </w:rPr>
      <w:drawing>
        <wp:inline distT="0" distB="0" distL="0" distR="0" wp14:anchorId="7E6FB2BE" wp14:editId="1E292FF7">
          <wp:extent cx="968375" cy="724535"/>
          <wp:effectExtent l="0" t="0" r="3175" b="0"/>
          <wp:docPr id="1" name="Picture 1" descr="Epina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pina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48" w:rsidRDefault="00412B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5730240" cy="3074035"/>
          <wp:effectExtent l="0" t="0" r="0" b="0"/>
          <wp:wrapSquare wrapText="bothSides" distT="0" distB="0" distL="114300" distR="114300"/>
          <wp:docPr id="5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240" cy="3074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73B"/>
    <w:multiLevelType w:val="multilevel"/>
    <w:tmpl w:val="234A387E"/>
    <w:lvl w:ilvl="0">
      <w:start w:val="1"/>
      <w:numFmt w:val="bullet"/>
      <w:lvlText w:val="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BC04C6"/>
    <w:multiLevelType w:val="multilevel"/>
    <w:tmpl w:val="9170F788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EF6A84"/>
    <w:multiLevelType w:val="multilevel"/>
    <w:tmpl w:val="53EACCD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667CAE"/>
    <w:multiLevelType w:val="multilevel"/>
    <w:tmpl w:val="F32C82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B66BD0"/>
    <w:multiLevelType w:val="multilevel"/>
    <w:tmpl w:val="C3A64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48"/>
    <w:rsid w:val="00412B71"/>
    <w:rsid w:val="005B1E48"/>
    <w:rsid w:val="009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7EB4"/>
  <w15:docId w15:val="{9F612D7F-FCA9-40EE-BADC-BD918089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B9F05F2F</Template>
  <TotalTime>0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Epinay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Stephenson</dc:creator>
  <cp:lastModifiedBy>Sandra Stephenson</cp:lastModifiedBy>
  <cp:revision>2</cp:revision>
  <dcterms:created xsi:type="dcterms:W3CDTF">2022-09-27T09:13:00Z</dcterms:created>
  <dcterms:modified xsi:type="dcterms:W3CDTF">2022-09-27T09:13:00Z</dcterms:modified>
</cp:coreProperties>
</file>